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AC517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8A96E8" wp14:editId="5FCBF502">
            <wp:simplePos x="0" y="0"/>
            <wp:positionH relativeFrom="column">
              <wp:posOffset>4461510</wp:posOffset>
            </wp:positionH>
            <wp:positionV relativeFrom="paragraph">
              <wp:posOffset>-43815</wp:posOffset>
            </wp:positionV>
            <wp:extent cx="1619250" cy="1943100"/>
            <wp:effectExtent l="0" t="0" r="0" b="0"/>
            <wp:wrapSquare wrapText="bothSides"/>
            <wp:docPr id="23" name="图片 3" descr="穿西装的男人在微笑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穿西装的男人在微笑&#10;&#10;描述已自动生成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" t="6604" r="7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b/>
          <w:sz w:val="28"/>
          <w:szCs w:val="28"/>
        </w:rPr>
        <w:t>郭</w:t>
      </w:r>
      <w:r>
        <w:rPr>
          <w:rFonts w:ascii="微软雅黑" w:eastAsia="微软雅黑" w:hAnsi="微软雅黑"/>
          <w:b/>
          <w:sz w:val="28"/>
          <w:szCs w:val="28"/>
        </w:rPr>
        <w:t>巍</w:t>
      </w:r>
      <w:r>
        <w:rPr>
          <w:rFonts w:ascii="微软雅黑" w:eastAsia="微软雅黑" w:hAnsi="微软雅黑" w:hint="eastAsia"/>
          <w:b/>
          <w:sz w:val="28"/>
          <w:szCs w:val="28"/>
        </w:rPr>
        <w:t>先生</w:t>
      </w:r>
      <w:r w:rsidRPr="00E67382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>
        <w:rPr>
          <w:rFonts w:ascii="微软雅黑" w:eastAsia="微软雅黑" w:hAnsi="微软雅黑" w:hint="eastAsia"/>
          <w:b/>
          <w:sz w:val="28"/>
          <w:szCs w:val="28"/>
        </w:rPr>
        <w:t>宏观经济与资产投融资专家</w:t>
      </w:r>
    </w:p>
    <w:p w14:paraId="40E7CF68" w14:textId="77777777" w:rsidR="00FC6E24" w:rsidRPr="00BE213B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b/>
          <w:color w:val="000000"/>
          <w:sz w:val="24"/>
          <w:szCs w:val="24"/>
        </w:rPr>
      </w:pPr>
      <w:r w:rsidRPr="00BE213B">
        <w:rPr>
          <w:rFonts w:ascii="微软雅黑" w:eastAsia="微软雅黑" w:hAnsi="微软雅黑" w:hint="eastAsia"/>
          <w:b/>
          <w:color w:val="000000"/>
          <w:sz w:val="24"/>
          <w:szCs w:val="24"/>
        </w:rPr>
        <w:t>基本信息</w:t>
      </w:r>
    </w:p>
    <w:p w14:paraId="180CB0A2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 w:rsidRPr="00915620">
        <w:rPr>
          <w:rFonts w:ascii="微软雅黑" w:eastAsia="微软雅黑" w:hAnsi="微软雅黑" w:hint="eastAsia"/>
          <w:szCs w:val="24"/>
        </w:rPr>
        <w:t>中国财政学会公私合作研究专业委员会</w:t>
      </w:r>
      <w:r>
        <w:rPr>
          <w:rFonts w:ascii="微软雅黑" w:eastAsia="微软雅黑" w:hAnsi="微软雅黑" w:hint="eastAsia"/>
          <w:szCs w:val="24"/>
        </w:rPr>
        <w:t>委员</w:t>
      </w:r>
    </w:p>
    <w:p w14:paraId="39E10740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招商银行总行机构部特聘专项债券顾问专家</w:t>
      </w:r>
    </w:p>
    <w:p w14:paraId="134436A0" w14:textId="4FAD883E" w:rsidR="00FC6E24" w:rsidRPr="005A34D8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经济管理</w:t>
      </w:r>
      <w:r w:rsidRPr="00915620">
        <w:rPr>
          <w:rFonts w:ascii="微软雅黑" w:eastAsia="微软雅黑" w:hAnsi="微软雅黑" w:hint="eastAsia"/>
          <w:szCs w:val="24"/>
        </w:rPr>
        <w:t>工程师</w:t>
      </w:r>
      <w:r>
        <w:rPr>
          <w:rFonts w:ascii="微软雅黑" w:eastAsia="微软雅黑" w:hAnsi="微软雅黑" w:hint="eastAsia"/>
          <w:szCs w:val="24"/>
        </w:rPr>
        <w:t xml:space="preserve"> </w:t>
      </w:r>
      <w:r w:rsidR="005A34D8">
        <w:rPr>
          <w:rFonts w:ascii="微软雅黑" w:eastAsia="微软雅黑" w:hAnsi="微软雅黑" w:hint="eastAsia"/>
          <w:szCs w:val="24"/>
        </w:rPr>
        <w:t>北京山禾不动产管理有限公司总经理</w:t>
      </w:r>
    </w:p>
    <w:p w14:paraId="3AF05D82" w14:textId="77777777" w:rsidR="00FC6E24" w:rsidRPr="00915620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 w:rsidRPr="00915620">
        <w:rPr>
          <w:rFonts w:ascii="微软雅黑" w:eastAsia="微软雅黑" w:hAnsi="微软雅黑" w:hint="eastAsia"/>
          <w:szCs w:val="24"/>
        </w:rPr>
        <w:t>北京大学、清华大学、复旦大学、上海财经大学、中国人民大学特聘讲师</w:t>
      </w:r>
    </w:p>
    <w:p w14:paraId="324025B6" w14:textId="77777777" w:rsidR="00FC6E24" w:rsidRPr="00915620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保利发展、星河地产、卓越集团、碧桂园控股、鑫苑地产</w:t>
      </w:r>
      <w:r w:rsidRPr="00915620">
        <w:rPr>
          <w:rFonts w:ascii="微软雅黑" w:eastAsia="微软雅黑" w:hAnsi="微软雅黑" w:hint="eastAsia"/>
          <w:szCs w:val="24"/>
        </w:rPr>
        <w:t>宏观经济顾问</w:t>
      </w:r>
    </w:p>
    <w:p w14:paraId="61F376A8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东亚银行、海通证券、中国平安宏观经济与地产顾问</w:t>
      </w:r>
    </w:p>
    <w:p w14:paraId="541BE611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个人简介</w:t>
      </w:r>
    </w:p>
    <w:p w14:paraId="4D560E9D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 w:rsidRPr="00915620">
        <w:rPr>
          <w:rFonts w:ascii="微软雅黑" w:eastAsia="微软雅黑" w:hAnsi="微软雅黑" w:hint="eastAsia"/>
          <w:szCs w:val="24"/>
        </w:rPr>
        <w:t>郭巍先生在宏观经济、</w:t>
      </w:r>
      <w:r>
        <w:rPr>
          <w:rFonts w:ascii="微软雅黑" w:eastAsia="微软雅黑" w:hAnsi="微软雅黑" w:hint="eastAsia"/>
          <w:szCs w:val="24"/>
        </w:rPr>
        <w:t>政府与</w:t>
      </w:r>
      <w:r w:rsidRPr="00915620">
        <w:rPr>
          <w:rFonts w:ascii="微软雅黑" w:eastAsia="微软雅黑" w:hAnsi="微软雅黑" w:hint="eastAsia"/>
          <w:szCs w:val="24"/>
        </w:rPr>
        <w:t>民间投资、房地产和产业安全等领域具有十余年的宏观经济研究</w:t>
      </w:r>
      <w:r>
        <w:rPr>
          <w:rFonts w:ascii="微软雅黑" w:eastAsia="微软雅黑" w:hAnsi="微软雅黑" w:hint="eastAsia"/>
          <w:szCs w:val="24"/>
        </w:rPr>
        <w:t>与实操</w:t>
      </w:r>
      <w:r w:rsidRPr="00915620">
        <w:rPr>
          <w:rFonts w:ascii="微软雅黑" w:eastAsia="微软雅黑" w:hAnsi="微软雅黑" w:hint="eastAsia"/>
          <w:szCs w:val="24"/>
        </w:rPr>
        <w:t>经验，</w:t>
      </w:r>
      <w:r>
        <w:rPr>
          <w:rFonts w:ascii="微软雅黑" w:eastAsia="微软雅黑" w:hAnsi="微软雅黑" w:hint="eastAsia"/>
          <w:szCs w:val="24"/>
        </w:rPr>
        <w:t>曾</w:t>
      </w:r>
      <w:r w:rsidRPr="00915620">
        <w:rPr>
          <w:rFonts w:ascii="微软雅黑" w:eastAsia="微软雅黑" w:hAnsi="微软雅黑" w:hint="eastAsia"/>
          <w:szCs w:val="24"/>
        </w:rPr>
        <w:t>担任全球最大的</w:t>
      </w:r>
      <w:r>
        <w:rPr>
          <w:rFonts w:ascii="微软雅黑" w:eastAsia="微软雅黑" w:hAnsi="微软雅黑" w:hint="eastAsia"/>
          <w:szCs w:val="24"/>
        </w:rPr>
        <w:t>大宗</w:t>
      </w:r>
      <w:r w:rsidRPr="00915620">
        <w:rPr>
          <w:rFonts w:ascii="微软雅黑" w:eastAsia="微软雅黑" w:hAnsi="微软雅黑" w:hint="eastAsia"/>
          <w:szCs w:val="24"/>
        </w:rPr>
        <w:t>金属矿业集团投资</w:t>
      </w:r>
      <w:r>
        <w:rPr>
          <w:rFonts w:ascii="微软雅黑" w:eastAsia="微软雅黑" w:hAnsi="微软雅黑" w:hint="eastAsia"/>
          <w:szCs w:val="24"/>
        </w:rPr>
        <w:t>管理</w:t>
      </w:r>
      <w:r w:rsidRPr="00915620">
        <w:rPr>
          <w:rFonts w:ascii="微软雅黑" w:eastAsia="微软雅黑" w:hAnsi="微软雅黑" w:hint="eastAsia"/>
          <w:szCs w:val="24"/>
        </w:rPr>
        <w:t>委员会投资委员</w:t>
      </w:r>
      <w:r>
        <w:rPr>
          <w:rFonts w:ascii="微软雅黑" w:eastAsia="微软雅黑" w:hAnsi="微软雅黑" w:hint="eastAsia"/>
          <w:szCs w:val="24"/>
        </w:rPr>
        <w:t>与科技战略委员会委员</w:t>
      </w:r>
      <w:r w:rsidRPr="00915620">
        <w:rPr>
          <w:rFonts w:ascii="微软雅黑" w:eastAsia="微软雅黑" w:hAnsi="微软雅黑" w:hint="eastAsia"/>
          <w:szCs w:val="24"/>
        </w:rPr>
        <w:t>。深谙政府政策出台思路与制定</w:t>
      </w:r>
      <w:r>
        <w:rPr>
          <w:rFonts w:ascii="微软雅黑" w:eastAsia="微软雅黑" w:hAnsi="微软雅黑" w:hint="eastAsia"/>
          <w:szCs w:val="24"/>
        </w:rPr>
        <w:t>背景</w:t>
      </w:r>
      <w:r w:rsidRPr="00915620">
        <w:rPr>
          <w:rFonts w:ascii="微软雅黑" w:eastAsia="微软雅黑" w:hAnsi="微软雅黑" w:hint="eastAsia"/>
          <w:szCs w:val="24"/>
        </w:rPr>
        <w:t>，专注于中国宏观经济发展研究，长期以来致力于经济理论和政策问题。研究主要涉及全球经济与局势、区域经济发展、金融创新、科技金融、企业改革、经济制度变迁、宏观经济政策、产业发展与政策等领域。特别对于全球政治经济格局、中国产业行业发展、金融行业发展研判、货币政策、全球贸易组织、新基建投资与财政政策、经济全球化、中国制造2025、产业转型升级与产业转移领域有独到的深入见解。</w:t>
      </w:r>
    </w:p>
    <w:p w14:paraId="59A8947E" w14:textId="77777777" w:rsidR="00FC6E24" w:rsidRPr="00075140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代表业绩</w:t>
      </w:r>
    </w:p>
    <w:p w14:paraId="3355938B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《货币政策与财政政策双轮驱动下的中国经济》</w:t>
      </w:r>
    </w:p>
    <w:p w14:paraId="750A194E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《中国宏观经济发展与企业崛起转型升级》</w:t>
      </w:r>
    </w:p>
    <w:p w14:paraId="1F79AF10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《中国金融市场基础设施体系与运行》</w:t>
      </w:r>
    </w:p>
    <w:p w14:paraId="1A3DB7AE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《中国模式转型升级与金融助力》</w:t>
      </w:r>
    </w:p>
    <w:p w14:paraId="4CBC50E6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《产业升级与国内产业变迁》</w:t>
      </w:r>
    </w:p>
    <w:p w14:paraId="6F78545B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 w:rsidRPr="00075140">
        <w:rPr>
          <w:rFonts w:ascii="微软雅黑" w:eastAsia="微软雅黑" w:hAnsi="微软雅黑" w:hint="eastAsia"/>
          <w:szCs w:val="24"/>
        </w:rPr>
        <w:t>曾参与国家发改委、财政部、国务院国资委、工信部、</w:t>
      </w:r>
      <w:r>
        <w:rPr>
          <w:rFonts w:ascii="微软雅黑" w:eastAsia="微软雅黑" w:hAnsi="微软雅黑" w:hint="eastAsia"/>
          <w:szCs w:val="24"/>
        </w:rPr>
        <w:t>科技部</w:t>
      </w:r>
      <w:r w:rsidRPr="00075140">
        <w:rPr>
          <w:rFonts w:ascii="微软雅黑" w:eastAsia="微软雅黑" w:hAnsi="微软雅黑" w:hint="eastAsia"/>
          <w:szCs w:val="24"/>
        </w:rPr>
        <w:t>相关司局产业政策制定决策</w:t>
      </w:r>
    </w:p>
    <w:p w14:paraId="764907DD" w14:textId="77777777" w:rsidR="00FC6E24" w:rsidRPr="00E64FED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b/>
          <w:bCs/>
          <w:sz w:val="24"/>
          <w:szCs w:val="24"/>
        </w:rPr>
      </w:pPr>
      <w:r w:rsidRPr="00E64FED">
        <w:rPr>
          <w:rFonts w:ascii="微软雅黑" w:eastAsia="微软雅黑" w:hAnsi="微软雅黑" w:hint="eastAsia"/>
          <w:b/>
          <w:bCs/>
          <w:sz w:val="24"/>
          <w:szCs w:val="24"/>
        </w:rPr>
        <w:t>署名文章</w:t>
      </w:r>
    </w:p>
    <w:p w14:paraId="6ABF9D32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bookmarkStart w:id="0" w:name="_Hlk11735638"/>
      <w:r>
        <w:rPr>
          <w:rFonts w:ascii="微软雅黑" w:eastAsia="微软雅黑" w:hAnsi="微软雅黑" w:hint="eastAsia"/>
          <w:szCs w:val="24"/>
        </w:rPr>
        <w:t>《疫情下的新基建投资与P</w:t>
      </w:r>
      <w:r>
        <w:rPr>
          <w:rFonts w:ascii="微软雅黑" w:eastAsia="微软雅黑" w:hAnsi="微软雅黑"/>
          <w:szCs w:val="24"/>
        </w:rPr>
        <w:t>PP</w:t>
      </w:r>
      <w:r>
        <w:rPr>
          <w:rFonts w:ascii="微软雅黑" w:eastAsia="微软雅黑" w:hAnsi="微软雅黑" w:hint="eastAsia"/>
          <w:szCs w:val="24"/>
        </w:rPr>
        <w:t>模式》-</w:t>
      </w:r>
      <w:r>
        <w:rPr>
          <w:rFonts w:ascii="微软雅黑" w:eastAsia="微软雅黑" w:hAnsi="微软雅黑"/>
          <w:szCs w:val="24"/>
        </w:rPr>
        <w:t>21</w:t>
      </w:r>
      <w:r>
        <w:rPr>
          <w:rFonts w:ascii="微软雅黑" w:eastAsia="微软雅黑" w:hAnsi="微软雅黑" w:hint="eastAsia"/>
          <w:szCs w:val="24"/>
        </w:rPr>
        <w:t>世纪经济报道</w:t>
      </w:r>
    </w:p>
    <w:p w14:paraId="53FE875E" w14:textId="77777777" w:rsidR="00FC6E24" w:rsidRPr="00D621DB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《金融助力珠三角村改项目模式与路径》-南方+</w:t>
      </w:r>
    </w:p>
    <w:p w14:paraId="669BF2D1" w14:textId="77777777" w:rsidR="00FC6E24" w:rsidRPr="00E64FED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 w:rsidRPr="00075140">
        <w:rPr>
          <w:rFonts w:ascii="微软雅黑" w:eastAsia="微软雅黑" w:hAnsi="微软雅黑" w:hint="eastAsia"/>
          <w:szCs w:val="24"/>
        </w:rPr>
        <w:t>《新型城镇化推进四原则》</w:t>
      </w:r>
      <w:r>
        <w:rPr>
          <w:rFonts w:ascii="微软雅黑" w:eastAsia="微软雅黑" w:hAnsi="微软雅黑" w:hint="eastAsia"/>
          <w:szCs w:val="24"/>
        </w:rPr>
        <w:t>-新华社内刊</w:t>
      </w:r>
    </w:p>
    <w:bookmarkEnd w:id="0"/>
    <w:p w14:paraId="07BF3BAF" w14:textId="77777777" w:rsidR="00FC6E24" w:rsidRPr="00E64FED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 w:rsidRPr="00E64FED">
        <w:rPr>
          <w:rFonts w:ascii="微软雅黑" w:eastAsia="微软雅黑" w:hAnsi="微软雅黑" w:hint="eastAsia"/>
          <w:szCs w:val="24"/>
        </w:rPr>
        <w:t>《里昂惕夫产业关联模型在城市</w:t>
      </w:r>
      <w:r>
        <w:rPr>
          <w:rFonts w:ascii="微软雅黑" w:eastAsia="微软雅黑" w:hAnsi="微软雅黑" w:hint="eastAsia"/>
          <w:szCs w:val="24"/>
        </w:rPr>
        <w:t>经济</w:t>
      </w:r>
      <w:r w:rsidRPr="00E64FED">
        <w:rPr>
          <w:rFonts w:ascii="微软雅黑" w:eastAsia="微软雅黑" w:hAnsi="微软雅黑" w:hint="eastAsia"/>
          <w:szCs w:val="24"/>
        </w:rPr>
        <w:t>中的应用》</w:t>
      </w:r>
      <w:r>
        <w:rPr>
          <w:rFonts w:ascii="微软雅黑" w:eastAsia="微软雅黑" w:hAnsi="微软雅黑" w:hint="eastAsia"/>
          <w:szCs w:val="24"/>
        </w:rPr>
        <w:t>-中国区域经济发展年会</w:t>
      </w:r>
    </w:p>
    <w:p w14:paraId="4E61506F" w14:textId="77777777" w:rsidR="00FC6E24" w:rsidRPr="00190752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主讲课程</w:t>
      </w:r>
    </w:p>
    <w:p w14:paraId="0657A472" w14:textId="77777777" w:rsidR="00FC6E24" w:rsidRDefault="00FC6E24" w:rsidP="00FC6E24">
      <w:pPr>
        <w:numPr>
          <w:ilvl w:val="0"/>
          <w:numId w:val="1"/>
        </w:num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节物风光不相待，桑田碧海须臾改-中国宏观经济发展趋势与展望</w:t>
      </w:r>
    </w:p>
    <w:p w14:paraId="6B4C4F07" w14:textId="77777777" w:rsidR="00FC6E24" w:rsidRPr="00D621DB" w:rsidRDefault="00FC6E24" w:rsidP="00FC6E24">
      <w:pPr>
        <w:numPr>
          <w:ilvl w:val="0"/>
          <w:numId w:val="1"/>
        </w:num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重整旗鼓、胜负已定-后疫情时代经济崛起与银行业十四五开局</w:t>
      </w:r>
    </w:p>
    <w:p w14:paraId="6980A06C" w14:textId="77777777" w:rsidR="00FC6E24" w:rsidRDefault="00FC6E24" w:rsidP="00FC6E24">
      <w:pPr>
        <w:numPr>
          <w:ilvl w:val="0"/>
          <w:numId w:val="1"/>
        </w:num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lastRenderedPageBreak/>
        <w:t>投资消费双引擎拉动下的中国保险行业发展趋势与机遇挑战</w:t>
      </w:r>
    </w:p>
    <w:p w14:paraId="06974A32" w14:textId="77777777" w:rsidR="00FC6E24" w:rsidRPr="00D621DB" w:rsidRDefault="00FC6E24" w:rsidP="00FC6E24">
      <w:pPr>
        <w:numPr>
          <w:ilvl w:val="0"/>
          <w:numId w:val="1"/>
        </w:num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新机遇-中国房地产行业发展趋势与宏观逻辑</w:t>
      </w:r>
    </w:p>
    <w:p w14:paraId="75061669" w14:textId="77777777" w:rsidR="00FC6E24" w:rsidRPr="00D621DB" w:rsidRDefault="00FC6E24" w:rsidP="00FC6E24">
      <w:pPr>
        <w:numPr>
          <w:ilvl w:val="0"/>
          <w:numId w:val="1"/>
        </w:num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新模式、新机遇、新起点-</w:t>
      </w:r>
      <w:r w:rsidRPr="00D621DB">
        <w:rPr>
          <w:rFonts w:ascii="微软雅黑" w:eastAsia="微软雅黑" w:hAnsi="微软雅黑" w:hint="eastAsia"/>
          <w:szCs w:val="24"/>
        </w:rPr>
        <w:t>中央关于新基建投资精神解读与机遇把握</w:t>
      </w:r>
    </w:p>
    <w:p w14:paraId="0596A778" w14:textId="77777777" w:rsidR="00FC6E24" w:rsidRPr="00D621DB" w:rsidRDefault="00FC6E24" w:rsidP="00FC6E24">
      <w:pPr>
        <w:numPr>
          <w:ilvl w:val="0"/>
          <w:numId w:val="1"/>
        </w:num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拨云见日、后发制人、大国崛起-</w:t>
      </w:r>
      <w:r w:rsidRPr="00D621DB">
        <w:rPr>
          <w:rFonts w:ascii="微软雅黑" w:eastAsia="微软雅黑" w:hAnsi="微软雅黑" w:hint="eastAsia"/>
          <w:szCs w:val="24"/>
        </w:rPr>
        <w:t>中国制造2</w:t>
      </w:r>
      <w:r w:rsidRPr="00D621DB">
        <w:rPr>
          <w:rFonts w:ascii="微软雅黑" w:eastAsia="微软雅黑" w:hAnsi="微软雅黑"/>
          <w:szCs w:val="24"/>
        </w:rPr>
        <w:t>025</w:t>
      </w:r>
      <w:r w:rsidRPr="00D621DB">
        <w:rPr>
          <w:rFonts w:ascii="微软雅黑" w:eastAsia="微软雅黑" w:hAnsi="微软雅黑" w:hint="eastAsia"/>
          <w:szCs w:val="24"/>
        </w:rPr>
        <w:t>与产业转型升级</w:t>
      </w:r>
    </w:p>
    <w:p w14:paraId="7FA35AAA" w14:textId="77777777" w:rsidR="00FC6E24" w:rsidRPr="00D621DB" w:rsidRDefault="00FC6E24" w:rsidP="00FC6E24">
      <w:pPr>
        <w:numPr>
          <w:ilvl w:val="0"/>
          <w:numId w:val="1"/>
        </w:num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新模式、新方法、新理念、新机遇-</w:t>
      </w:r>
      <w:r w:rsidRPr="00D621DB">
        <w:rPr>
          <w:rFonts w:ascii="微软雅黑" w:eastAsia="微软雅黑" w:hAnsi="微软雅黑" w:hint="eastAsia"/>
          <w:szCs w:val="24"/>
        </w:rPr>
        <w:t>国企改革、国企混改与宏观经济</w:t>
      </w:r>
    </w:p>
    <w:p w14:paraId="38DA352D" w14:textId="77777777" w:rsidR="00FC6E24" w:rsidRDefault="00FC6E24" w:rsidP="00FC6E24">
      <w:pPr>
        <w:numPr>
          <w:ilvl w:val="0"/>
          <w:numId w:val="1"/>
        </w:numPr>
        <w:adjustRightInd w:val="0"/>
        <w:snapToGrid w:val="0"/>
        <w:spacing w:line="460" w:lineRule="exac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全球化的的时代机遇-</w:t>
      </w:r>
      <w:r w:rsidRPr="00D621DB">
        <w:rPr>
          <w:rFonts w:ascii="微软雅黑" w:eastAsia="微软雅黑" w:hAnsi="微软雅黑" w:hint="eastAsia"/>
          <w:szCs w:val="24"/>
        </w:rPr>
        <w:t>一带一路建设与中国企业走出去的机遇</w:t>
      </w:r>
    </w:p>
    <w:p w14:paraId="2636DE49" w14:textId="77777777" w:rsidR="00FC6E24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b/>
          <w:sz w:val="24"/>
          <w:szCs w:val="24"/>
        </w:rPr>
      </w:pPr>
      <w:r w:rsidRPr="000B0076">
        <w:rPr>
          <w:rFonts w:ascii="微软雅黑" w:eastAsia="微软雅黑" w:hAnsi="微软雅黑" w:hint="eastAsia"/>
          <w:b/>
          <w:sz w:val="24"/>
          <w:szCs w:val="24"/>
        </w:rPr>
        <w:t>服务</w:t>
      </w:r>
      <w:r w:rsidRPr="000B0076">
        <w:rPr>
          <w:rFonts w:ascii="微软雅黑" w:eastAsia="微软雅黑" w:hAnsi="微软雅黑"/>
          <w:b/>
          <w:sz w:val="24"/>
          <w:szCs w:val="24"/>
        </w:rPr>
        <w:t>过的客户：</w:t>
      </w:r>
    </w:p>
    <w:p w14:paraId="21FA4F51" w14:textId="77777777" w:rsidR="00FC6E24" w:rsidRPr="00D21CFD" w:rsidRDefault="00FC6E24" w:rsidP="00FC6E24">
      <w:pPr>
        <w:spacing w:line="500" w:lineRule="exact"/>
        <w:rPr>
          <w:rFonts w:ascii="微软雅黑" w:eastAsia="微软雅黑" w:hAnsi="微软雅黑" w:cs="AppleSystemUIFont"/>
          <w:b/>
          <w:bCs/>
          <w:szCs w:val="21"/>
        </w:rPr>
      </w:pPr>
      <w:r w:rsidRPr="00D21CFD">
        <w:rPr>
          <w:rFonts w:ascii="微软雅黑" w:eastAsia="微软雅黑" w:hAnsi="微软雅黑"/>
          <w:b/>
          <w:bCs/>
          <w:szCs w:val="21"/>
        </w:rPr>
        <w:t>央企</w:t>
      </w:r>
    </w:p>
    <w:p w14:paraId="1AC1A421" w14:textId="77777777" w:rsidR="00FC6E24" w:rsidRPr="00D21CFD" w:rsidRDefault="00FC6E24" w:rsidP="00FC6E24">
      <w:pPr>
        <w:spacing w:line="500" w:lineRule="exact"/>
        <w:rPr>
          <w:rFonts w:ascii="微软雅黑" w:eastAsia="微软雅黑" w:hAnsi="微软雅黑" w:cs="AppleSystemUIFont"/>
          <w:szCs w:val="21"/>
        </w:rPr>
      </w:pPr>
      <w:r w:rsidRPr="00D21CFD">
        <w:rPr>
          <w:rFonts w:ascii="微软雅黑" w:eastAsia="微软雅黑" w:hAnsi="微软雅黑" w:cs="AppleSystemUIFont"/>
          <w:szCs w:val="21"/>
        </w:rPr>
        <w:t>中建二局总部、中建三局、中建四局投资公司、中建五局信和地产、中建五局投资公司、中建北方、中建科工北方公司、中建沈阳西部建设、中交雄安、中交疏浚、中交广航、中交一公局、中交二公局、中交一公局第五工程公司、中铁建工集团、中铁二局、中铁武汉电气化局、中冶投资总部、中国电建二级公司新晋领导班子培训、中国电建地产、中国电建山东一公司、中国电建生态集团、中国电建西北院、中国十三化建、中国五矿总部、宝武集团总部、宝地资产华南公司、攀钢集团成都钢钒有限公司、中粮大悦城、招商蛇口、华侨城集团、国机集团、中国中车青岛、中国移动信息港中心</w:t>
      </w:r>
    </w:p>
    <w:p w14:paraId="11C24754" w14:textId="77777777" w:rsidR="00FC6E24" w:rsidRPr="00D21CFD" w:rsidRDefault="00FC6E24" w:rsidP="00FC6E24">
      <w:pPr>
        <w:spacing w:line="500" w:lineRule="exact"/>
        <w:rPr>
          <w:rFonts w:ascii="微软雅黑" w:eastAsia="微软雅黑" w:hAnsi="微软雅黑" w:cs="AppleSystemUIFont"/>
          <w:b/>
          <w:bCs/>
          <w:szCs w:val="21"/>
        </w:rPr>
      </w:pPr>
      <w:r w:rsidRPr="00D21CFD">
        <w:rPr>
          <w:rFonts w:ascii="微软雅黑" w:eastAsia="微软雅黑" w:hAnsi="微软雅黑"/>
          <w:b/>
          <w:bCs/>
          <w:szCs w:val="21"/>
        </w:rPr>
        <w:t>政府</w:t>
      </w:r>
    </w:p>
    <w:p w14:paraId="653723FA" w14:textId="77777777" w:rsidR="00FC6E24" w:rsidRPr="00D21CFD" w:rsidRDefault="00FC6E24" w:rsidP="00FC6E24">
      <w:pPr>
        <w:spacing w:line="500" w:lineRule="exact"/>
        <w:rPr>
          <w:rFonts w:ascii="微软雅黑" w:eastAsia="微软雅黑" w:hAnsi="微软雅黑" w:cs="AppleSystemUIFont"/>
          <w:szCs w:val="21"/>
        </w:rPr>
      </w:pPr>
      <w:r w:rsidRPr="00D21CFD">
        <w:rPr>
          <w:rFonts w:ascii="微软雅黑" w:eastAsia="微软雅黑" w:hAnsi="微软雅黑" w:cs="AppleSystemUIFont"/>
          <w:szCs w:val="21"/>
        </w:rPr>
        <w:t>深圳市南山区政府、惠州市政府、厦门市政府、南宁市工信局、广西钦州市、湛江市经开区、重庆两江新区、重庆璧山区政府、重庆市渝北区、广安市前锋区、成都市青羊区发改局、资阳市委组织部、乐山市审计局、武汉市东西湖区委组织部、长沙市委组织部、长沙市马栏山文创园、浙江省副处级中青班、杭州市钱塘新区、宁波市镇海区、舟山市政府、湖州南浔区商务局、江西省工信厅及省属开发区、南京浦口区政府、镇江市京口区、宜兴市经开区、南通市财政局、连云港商务局、常州市金坛区、淮安市淮阴区政府、徐州市财政局、蚌埠市招商局、宣城市宁国市政府、石家庄市委组织部、廊坊市固安县政府、济南市历城区、青岛市崂山区委组织部、长治市经开区、</w:t>
      </w:r>
    </w:p>
    <w:p w14:paraId="0F6C0C15" w14:textId="77777777" w:rsidR="00FC6E24" w:rsidRPr="00D21CFD" w:rsidRDefault="00FC6E24" w:rsidP="00FC6E24">
      <w:pPr>
        <w:spacing w:line="500" w:lineRule="exact"/>
        <w:rPr>
          <w:rFonts w:ascii="微软雅黑" w:eastAsia="微软雅黑" w:hAnsi="微软雅黑" w:cs="AppleSystemUIFont"/>
          <w:b/>
          <w:bCs/>
          <w:szCs w:val="21"/>
        </w:rPr>
      </w:pPr>
      <w:r w:rsidRPr="00D21CFD">
        <w:rPr>
          <w:rFonts w:ascii="微软雅黑" w:eastAsia="微软雅黑" w:hAnsi="微软雅黑"/>
          <w:b/>
          <w:bCs/>
          <w:szCs w:val="21"/>
        </w:rPr>
        <w:t>国企</w:t>
      </w:r>
    </w:p>
    <w:p w14:paraId="3F184870" w14:textId="77777777" w:rsidR="00FC6E24" w:rsidRPr="00D21CFD" w:rsidRDefault="00FC6E24" w:rsidP="00FC6E24">
      <w:pPr>
        <w:spacing w:line="500" w:lineRule="exact"/>
        <w:rPr>
          <w:rFonts w:ascii="微软雅黑" w:eastAsia="微软雅黑" w:hAnsi="微软雅黑" w:cs="AppleSystemUIFont"/>
          <w:szCs w:val="21"/>
        </w:rPr>
      </w:pPr>
      <w:r w:rsidRPr="00D21CFD">
        <w:rPr>
          <w:rFonts w:ascii="微软雅黑" w:eastAsia="微软雅黑" w:hAnsi="微软雅黑" w:cs="AppleSystemUIFont"/>
          <w:szCs w:val="21"/>
        </w:rPr>
        <w:t>茅台集团总部、绿地城投、顺控集团、成都空港兴城、广州白云产投、南宁交投、青岛城投、西咸集团、蜀道集团、宁德国投、上实城开、锦恒集团、昆明产投、云南能投、新疆建工投资、西安建工、湖南建工、陕西建工、沣西集团、深圳机场、大连三寰集团、苏高新集团、长沙高新集团、湖南建工、山西建投</w:t>
      </w:r>
    </w:p>
    <w:p w14:paraId="219FBD1E" w14:textId="77777777" w:rsidR="00FC6E24" w:rsidRPr="00D21CFD" w:rsidRDefault="00FC6E24" w:rsidP="00FC6E24">
      <w:pPr>
        <w:spacing w:line="500" w:lineRule="exact"/>
        <w:rPr>
          <w:rFonts w:ascii="微软雅黑" w:eastAsia="微软雅黑" w:hAnsi="微软雅黑" w:cs="AppleSystemUIFont"/>
          <w:b/>
          <w:bCs/>
          <w:szCs w:val="21"/>
        </w:rPr>
      </w:pPr>
      <w:r w:rsidRPr="00D21CFD">
        <w:rPr>
          <w:rFonts w:ascii="微软雅黑" w:eastAsia="微软雅黑" w:hAnsi="微软雅黑"/>
          <w:b/>
          <w:bCs/>
          <w:szCs w:val="21"/>
        </w:rPr>
        <w:t>银行</w:t>
      </w:r>
    </w:p>
    <w:p w14:paraId="0826E5DE" w14:textId="77777777" w:rsidR="00FC6E24" w:rsidRPr="00D21CFD" w:rsidRDefault="00FC6E24" w:rsidP="00FC6E24">
      <w:pPr>
        <w:spacing w:line="500" w:lineRule="exact"/>
        <w:rPr>
          <w:rFonts w:ascii="微软雅黑" w:eastAsia="微软雅黑" w:hAnsi="微软雅黑" w:cs="AppleSystemUIFont"/>
          <w:szCs w:val="21"/>
        </w:rPr>
      </w:pPr>
      <w:r w:rsidRPr="00D21CFD">
        <w:rPr>
          <w:rFonts w:ascii="微软雅黑" w:eastAsia="微软雅黑" w:hAnsi="微软雅黑" w:cs="AppleSystemUIFont"/>
          <w:szCs w:val="21"/>
        </w:rPr>
        <w:t>招商银行总行、东亚银行、交通银行青岛分行、交通银行盐城分行、中国建设银行苏州分行、招商银行西安分行、中国银行新疆分行、中国银行云南分行、中国银行太原分行、中国银行濮阳分行、广发银行石家</w:t>
      </w:r>
      <w:r w:rsidRPr="00D21CFD">
        <w:rPr>
          <w:rFonts w:ascii="微软雅黑" w:eastAsia="微软雅黑" w:hAnsi="微软雅黑" w:cs="AppleSystemUIFont"/>
          <w:szCs w:val="21"/>
        </w:rPr>
        <w:lastRenderedPageBreak/>
        <w:t>庄分行、民生银行深圳分行、汉口银行、平安银行</w:t>
      </w:r>
    </w:p>
    <w:p w14:paraId="574D3171" w14:textId="77777777" w:rsidR="00FC6E24" w:rsidRPr="00D21CFD" w:rsidRDefault="00FC6E24" w:rsidP="00FC6E24">
      <w:pPr>
        <w:spacing w:line="500" w:lineRule="exact"/>
        <w:rPr>
          <w:rFonts w:ascii="微软雅黑" w:eastAsia="微软雅黑" w:hAnsi="微软雅黑" w:cs="AppleSystemUIFont"/>
          <w:b/>
          <w:bCs/>
          <w:szCs w:val="21"/>
        </w:rPr>
      </w:pPr>
      <w:r w:rsidRPr="00D21CFD">
        <w:rPr>
          <w:rFonts w:ascii="微软雅黑" w:eastAsia="微软雅黑" w:hAnsi="微软雅黑"/>
          <w:b/>
          <w:bCs/>
          <w:szCs w:val="21"/>
        </w:rPr>
        <w:t>金融机构</w:t>
      </w:r>
    </w:p>
    <w:p w14:paraId="476E93F1" w14:textId="77777777" w:rsidR="00FC6E24" w:rsidRPr="00D21CFD" w:rsidRDefault="00FC6E24" w:rsidP="00FC6E24">
      <w:pPr>
        <w:spacing w:line="500" w:lineRule="exact"/>
        <w:rPr>
          <w:rFonts w:ascii="微软雅黑" w:eastAsia="微软雅黑" w:hAnsi="微软雅黑" w:cs="AppleSystemUIFont"/>
          <w:szCs w:val="21"/>
        </w:rPr>
      </w:pPr>
      <w:r w:rsidRPr="00D21CFD">
        <w:rPr>
          <w:rFonts w:ascii="微软雅黑" w:eastAsia="微软雅黑" w:hAnsi="微软雅黑" w:cs="AppleSystemUIFont"/>
          <w:szCs w:val="21"/>
        </w:rPr>
        <w:t>东吴证券总部、海通证券华南区、香港富通保险、太平财险、平安财险</w:t>
      </w:r>
    </w:p>
    <w:p w14:paraId="782E60DC" w14:textId="77777777" w:rsidR="00FC6E24" w:rsidRPr="00D21CFD" w:rsidRDefault="00FC6E24" w:rsidP="00FC6E24">
      <w:pPr>
        <w:spacing w:line="500" w:lineRule="exact"/>
        <w:rPr>
          <w:rFonts w:ascii="微软雅黑" w:eastAsia="微软雅黑" w:hAnsi="微软雅黑" w:cs="AppleSystemUIFont"/>
          <w:b/>
          <w:bCs/>
          <w:szCs w:val="21"/>
        </w:rPr>
      </w:pPr>
      <w:r w:rsidRPr="00D21CFD">
        <w:rPr>
          <w:rFonts w:ascii="微软雅黑" w:eastAsia="微软雅黑" w:hAnsi="微软雅黑"/>
          <w:b/>
          <w:bCs/>
          <w:szCs w:val="21"/>
        </w:rPr>
        <w:t>地产公司</w:t>
      </w:r>
    </w:p>
    <w:p w14:paraId="2646CFBC" w14:textId="77777777" w:rsidR="00FC6E24" w:rsidRPr="00D21CFD" w:rsidRDefault="00FC6E24" w:rsidP="00FC6E24">
      <w:pPr>
        <w:spacing w:line="500" w:lineRule="exact"/>
        <w:rPr>
          <w:rFonts w:ascii="微软雅黑" w:eastAsia="微软雅黑" w:hAnsi="微软雅黑"/>
          <w:szCs w:val="21"/>
        </w:rPr>
      </w:pPr>
      <w:r w:rsidRPr="00D21CFD">
        <w:rPr>
          <w:rFonts w:ascii="微软雅黑" w:eastAsia="微软雅黑" w:hAnsi="微软雅黑" w:cs="AppleExternalUIFontSimplifiedCh" w:hint="eastAsia"/>
          <w:szCs w:val="21"/>
        </w:rPr>
        <w:t>中粮大悦城、葛洲坝地产、南国置业、招商蛇口总部、卓越地产、星河地产、鑫苑地产、中南高科集团总部、合景泰富、佛山天安数码集团、绿地南京</w:t>
      </w:r>
    </w:p>
    <w:p w14:paraId="059C23DC" w14:textId="77777777" w:rsidR="00FC6E24" w:rsidRPr="0042684D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授课照片见证</w:t>
      </w:r>
      <w:r w:rsidRPr="0042684D">
        <w:rPr>
          <w:rFonts w:ascii="微软雅黑" w:eastAsia="微软雅黑" w:hAnsi="微软雅黑"/>
          <w:b/>
          <w:sz w:val="24"/>
          <w:szCs w:val="24"/>
        </w:rPr>
        <w:t>：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78"/>
      </w:tblGrid>
      <w:tr w:rsidR="00FC6E24" w:rsidRPr="00D930C4" w14:paraId="120DB7B4" w14:textId="77777777" w:rsidTr="00330F2B">
        <w:tc>
          <w:tcPr>
            <w:tcW w:w="4644" w:type="dxa"/>
            <w:shd w:val="clear" w:color="auto" w:fill="auto"/>
          </w:tcPr>
          <w:p w14:paraId="52186A1D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832672" wp14:editId="7866A4C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278765</wp:posOffset>
                  </wp:positionV>
                  <wp:extent cx="2811780" cy="1593215"/>
                  <wp:effectExtent l="0" t="0" r="0" b="0"/>
                  <wp:wrapSquare wrapText="bothSides"/>
                  <wp:docPr id="22" name="图片 31" descr="图片包含 室内, 房间, 椅子, 窗户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1" descr="图片包含 室内, 房间, 椅子, 窗户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shd w:val="clear" w:color="auto" w:fill="auto"/>
          </w:tcPr>
          <w:p w14:paraId="0DABC769" w14:textId="77777777" w:rsidR="00FC6E24" w:rsidRPr="00ED7102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1D6206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14CB4294" wp14:editId="54C5DFBC">
                  <wp:extent cx="2830830" cy="1876425"/>
                  <wp:effectExtent l="0" t="0" r="0" b="0"/>
                  <wp:docPr id="1" name="图片 36" descr="一群人坐在桌子前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一群人坐在桌子前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4" w:rsidRPr="00D930C4" w14:paraId="589C4CDA" w14:textId="77777777" w:rsidTr="00330F2B">
        <w:tc>
          <w:tcPr>
            <w:tcW w:w="4644" w:type="dxa"/>
            <w:shd w:val="clear" w:color="auto" w:fill="auto"/>
          </w:tcPr>
          <w:p w14:paraId="334D1C7A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茅台集团总部中高层管理人员</w:t>
            </w:r>
          </w:p>
          <w:p w14:paraId="304A54FB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D7102">
              <w:rPr>
                <w:rFonts w:ascii="微软雅黑" w:eastAsia="微软雅黑" w:hAnsi="微软雅黑" w:hint="eastAsia"/>
                <w:sz w:val="22"/>
              </w:rPr>
              <w:t>《</w:t>
            </w:r>
            <w:r>
              <w:rPr>
                <w:rFonts w:ascii="微软雅黑" w:eastAsia="微软雅黑" w:hAnsi="微软雅黑" w:hint="eastAsia"/>
                <w:sz w:val="22"/>
              </w:rPr>
              <w:t>十四五规划背景下中国企业转型升级</w:t>
            </w:r>
            <w:r w:rsidRPr="00ED7102">
              <w:rPr>
                <w:rFonts w:ascii="微软雅黑" w:eastAsia="微软雅黑" w:hAnsi="微软雅黑" w:hint="eastAsia"/>
                <w:sz w:val="22"/>
              </w:rPr>
              <w:t>》</w:t>
            </w:r>
          </w:p>
        </w:tc>
        <w:tc>
          <w:tcPr>
            <w:tcW w:w="4678" w:type="dxa"/>
            <w:shd w:val="clear" w:color="auto" w:fill="auto"/>
          </w:tcPr>
          <w:p w14:paraId="2EAAE0CD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东吴证券董事会及全体高管</w:t>
            </w:r>
          </w:p>
          <w:p w14:paraId="6C7ED41D" w14:textId="77777777" w:rsidR="00FC6E24" w:rsidRPr="00ED7102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《中国宏观经济与证券业发展》</w:t>
            </w:r>
          </w:p>
        </w:tc>
      </w:tr>
      <w:tr w:rsidR="00FC6E24" w:rsidRPr="00D930C4" w14:paraId="3889B259" w14:textId="77777777" w:rsidTr="00330F2B">
        <w:tc>
          <w:tcPr>
            <w:tcW w:w="4644" w:type="dxa"/>
            <w:shd w:val="clear" w:color="auto" w:fill="auto"/>
          </w:tcPr>
          <w:p w14:paraId="7F3D2BD2" w14:textId="77777777" w:rsidR="00FC6E24" w:rsidRPr="00C00ECB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2"/>
              </w:rPr>
            </w:pPr>
            <w:r w:rsidRPr="00C3204D">
              <w:rPr>
                <w:rFonts w:ascii="微软雅黑" w:eastAsia="微软雅黑" w:hAnsi="微软雅黑"/>
                <w:noProof/>
                <w:sz w:val="22"/>
              </w:rPr>
              <w:drawing>
                <wp:inline distT="0" distB="0" distL="0" distR="0" wp14:anchorId="46252370" wp14:editId="19CD47FF">
                  <wp:extent cx="2806700" cy="2106930"/>
                  <wp:effectExtent l="0" t="0" r="0" b="0"/>
                  <wp:docPr id="2" name="图片 32" descr="会议室里的人们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会议室里的人们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68C71551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1D6206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734FBFF9" wp14:editId="5584B874">
                  <wp:extent cx="2830830" cy="1590040"/>
                  <wp:effectExtent l="0" t="0" r="0" b="0"/>
                  <wp:docPr id="3" name="图片 33" descr="一群人在房间里的电视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一群人在房间里的电视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4" w:rsidRPr="00D930C4" w14:paraId="664374E2" w14:textId="77777777" w:rsidTr="00330F2B">
        <w:tc>
          <w:tcPr>
            <w:tcW w:w="4644" w:type="dxa"/>
            <w:shd w:val="clear" w:color="auto" w:fill="auto"/>
          </w:tcPr>
          <w:p w14:paraId="158BC5B8" w14:textId="77777777" w:rsidR="00FC6E24" w:rsidRPr="00C00ECB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招商银行江西分行</w:t>
            </w:r>
          </w:p>
          <w:p w14:paraId="2E2CDEF7" w14:textId="77777777" w:rsidR="00FC6E24" w:rsidRPr="00ED7102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2"/>
              </w:rPr>
            </w:pPr>
            <w:r w:rsidRPr="00C00ECB">
              <w:rPr>
                <w:rFonts w:ascii="微软雅黑" w:eastAsia="微软雅黑" w:hAnsi="微软雅黑" w:hint="eastAsia"/>
                <w:sz w:val="24"/>
                <w:szCs w:val="24"/>
              </w:rPr>
              <w:t>《宏观经济与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银行业</w:t>
            </w:r>
            <w:r w:rsidRPr="00C00ECB">
              <w:rPr>
                <w:rFonts w:ascii="微软雅黑" w:eastAsia="微软雅黑" w:hAnsi="微软雅黑" w:hint="eastAsia"/>
                <w:sz w:val="24"/>
                <w:szCs w:val="24"/>
              </w:rPr>
              <w:t>行业发展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机遇</w:t>
            </w:r>
            <w:r w:rsidRPr="00C00ECB">
              <w:rPr>
                <w:rFonts w:ascii="微软雅黑" w:eastAsia="微软雅黑" w:hAnsi="微软雅黑" w:hint="eastAsia"/>
                <w:sz w:val="24"/>
                <w:szCs w:val="24"/>
              </w:rPr>
              <w:t>分析》</w:t>
            </w:r>
          </w:p>
        </w:tc>
        <w:tc>
          <w:tcPr>
            <w:tcW w:w="4678" w:type="dxa"/>
            <w:shd w:val="clear" w:color="auto" w:fill="auto"/>
          </w:tcPr>
          <w:p w14:paraId="0A726946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海通证券华南总部</w:t>
            </w:r>
          </w:p>
          <w:p w14:paraId="623D571A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《宏观经济形势下的财富配置》</w:t>
            </w:r>
          </w:p>
        </w:tc>
      </w:tr>
      <w:tr w:rsidR="00FC6E24" w:rsidRPr="00D930C4" w14:paraId="5D053F02" w14:textId="77777777" w:rsidTr="00330F2B">
        <w:tc>
          <w:tcPr>
            <w:tcW w:w="4644" w:type="dxa"/>
            <w:shd w:val="clear" w:color="auto" w:fill="auto"/>
          </w:tcPr>
          <w:p w14:paraId="44E7E648" w14:textId="77777777" w:rsidR="00FC6E24" w:rsidRPr="00C00ECB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A523DD" wp14:editId="5D5DBA70">
                  <wp:extent cx="2639695" cy="1749425"/>
                  <wp:effectExtent l="0" t="0" r="0" b="0"/>
                  <wp:docPr id="4" name="图片 4" descr="一群男人和女人站在桌子上&#10;&#10;低可信度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一群男人和女人站在桌子上&#10;&#10;低可信度描述已自动生成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0F7A2C61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1D6206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6FC63CC4" wp14:editId="2316227E">
                  <wp:extent cx="2830830" cy="1892300"/>
                  <wp:effectExtent l="0" t="0" r="0" b="0"/>
                  <wp:docPr id="5" name="图片 34" descr="男人站在那里&#10;&#10;中度可信度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男人站在那里&#10;&#10;中度可信度描述已自动生成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4" w:rsidRPr="00D930C4" w14:paraId="15C7CE91" w14:textId="77777777" w:rsidTr="00330F2B">
        <w:tc>
          <w:tcPr>
            <w:tcW w:w="4644" w:type="dxa"/>
            <w:shd w:val="clear" w:color="auto" w:fill="auto"/>
          </w:tcPr>
          <w:p w14:paraId="2D4F0B4A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合景泰富集团运营全员</w:t>
            </w:r>
          </w:p>
          <w:p w14:paraId="4C70EE5F" w14:textId="77777777" w:rsidR="00FC6E24" w:rsidRPr="00C00ECB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《宏观经济与房地产行业发展趋势》</w:t>
            </w:r>
          </w:p>
        </w:tc>
        <w:tc>
          <w:tcPr>
            <w:tcW w:w="4678" w:type="dxa"/>
            <w:shd w:val="clear" w:color="auto" w:fill="auto"/>
          </w:tcPr>
          <w:p w14:paraId="2375A035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美国注册财务规划师协会</w:t>
            </w:r>
          </w:p>
          <w:p w14:paraId="728FE818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《宏观经济形势与财富管理实务解析》</w:t>
            </w:r>
          </w:p>
        </w:tc>
      </w:tr>
      <w:tr w:rsidR="00FC6E24" w:rsidRPr="00D930C4" w14:paraId="11D51251" w14:textId="77777777" w:rsidTr="00330F2B">
        <w:tc>
          <w:tcPr>
            <w:tcW w:w="4644" w:type="dxa"/>
            <w:shd w:val="clear" w:color="auto" w:fill="auto"/>
          </w:tcPr>
          <w:p w14:paraId="2D4C4F3E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1D6206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2335F5D8" wp14:editId="6825308A">
                  <wp:extent cx="2806700" cy="1868805"/>
                  <wp:effectExtent l="0" t="0" r="0" b="0"/>
                  <wp:docPr id="6" name="图片 37" descr="桌子上的电脑萤幕画面&#10;&#10;中度可信度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桌子上的电脑萤幕画面&#10;&#10;中度可信度描述已自动生成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6388CAB3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C40C80" wp14:editId="7D2079B1">
                  <wp:extent cx="2997835" cy="2250440"/>
                  <wp:effectExtent l="0" t="0" r="0" b="0"/>
                  <wp:docPr id="7" name="图片 7" descr="一群人在房间里交谈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一群人在房间里交谈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25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4" w:rsidRPr="00D930C4" w14:paraId="51C9C639" w14:textId="77777777" w:rsidTr="00330F2B">
        <w:tc>
          <w:tcPr>
            <w:tcW w:w="4644" w:type="dxa"/>
            <w:shd w:val="clear" w:color="auto" w:fill="auto"/>
          </w:tcPr>
          <w:p w14:paraId="362C665F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前海金融学院R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FP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注册认证特聘专家讲师</w:t>
            </w:r>
          </w:p>
          <w:p w14:paraId="60602626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《中国宏观经济形势与保险行业趋势》</w:t>
            </w:r>
          </w:p>
        </w:tc>
        <w:tc>
          <w:tcPr>
            <w:tcW w:w="4678" w:type="dxa"/>
            <w:shd w:val="clear" w:color="auto" w:fill="auto"/>
          </w:tcPr>
          <w:p w14:paraId="63A45F43" w14:textId="77777777" w:rsidR="00FC6E24" w:rsidRPr="00C00ECB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中国银行新疆分行</w:t>
            </w:r>
          </w:p>
          <w:p w14:paraId="33E776EA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《中国宏观经济与银行业发展分析》</w:t>
            </w:r>
          </w:p>
        </w:tc>
      </w:tr>
      <w:tr w:rsidR="00FC6E24" w:rsidRPr="00D930C4" w14:paraId="5773B8BE" w14:textId="77777777" w:rsidTr="00330F2B">
        <w:tc>
          <w:tcPr>
            <w:tcW w:w="4644" w:type="dxa"/>
            <w:shd w:val="clear" w:color="auto" w:fill="auto"/>
          </w:tcPr>
          <w:p w14:paraId="44C66308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E96A6B" wp14:editId="52A47318">
                  <wp:extent cx="2727325" cy="2043430"/>
                  <wp:effectExtent l="0" t="0" r="0" b="0"/>
                  <wp:docPr id="8" name="图片 8" descr="大厅里的人们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大厅里的人们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09D1FA15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1D6206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09E052F6" wp14:editId="7DDB68C7">
                  <wp:extent cx="2830830" cy="1892300"/>
                  <wp:effectExtent l="0" t="0" r="0" b="0"/>
                  <wp:docPr id="9" name="图片 38" descr="一群人在看电脑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一群人在看电脑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4" w:rsidRPr="00D930C4" w14:paraId="652C81B6" w14:textId="77777777" w:rsidTr="00330F2B">
        <w:tc>
          <w:tcPr>
            <w:tcW w:w="4644" w:type="dxa"/>
            <w:shd w:val="clear" w:color="auto" w:fill="auto"/>
          </w:tcPr>
          <w:p w14:paraId="0D8324F2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碧桂园集团山东分公司</w:t>
            </w:r>
          </w:p>
          <w:p w14:paraId="7B2D1C2C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《中国宏观经济形势与房地产发展趋势》</w:t>
            </w:r>
          </w:p>
        </w:tc>
        <w:tc>
          <w:tcPr>
            <w:tcW w:w="4678" w:type="dxa"/>
            <w:shd w:val="clear" w:color="auto" w:fill="auto"/>
          </w:tcPr>
          <w:p w14:paraId="0C9EB009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中国远洋资本</w:t>
            </w:r>
          </w:p>
          <w:p w14:paraId="3ED3FA0C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《宏观经济与地产另类投资模式》</w:t>
            </w:r>
          </w:p>
        </w:tc>
      </w:tr>
      <w:tr w:rsidR="00FC6E24" w:rsidRPr="00D930C4" w14:paraId="26D83659" w14:textId="77777777" w:rsidTr="00330F2B">
        <w:tc>
          <w:tcPr>
            <w:tcW w:w="4644" w:type="dxa"/>
            <w:shd w:val="clear" w:color="auto" w:fill="auto"/>
          </w:tcPr>
          <w:p w14:paraId="77791DC6" w14:textId="77777777" w:rsidR="00FC6E24" w:rsidRPr="00D930C4" w:rsidRDefault="00FC6E24" w:rsidP="00330F2B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4F8A16" wp14:editId="37714822">
                  <wp:extent cx="3251835" cy="2170430"/>
                  <wp:effectExtent l="0" t="0" r="0" b="0"/>
                  <wp:docPr id="10" name="图片 10" descr="会议室里的人们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会议室里的人们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5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7C781C07" w14:textId="77777777" w:rsidR="00FC6E24" w:rsidRPr="00D930C4" w:rsidRDefault="00FC6E24" w:rsidP="00330F2B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E90789" wp14:editId="79D2DBAC">
                  <wp:extent cx="2886075" cy="2170430"/>
                  <wp:effectExtent l="0" t="0" r="0" b="0"/>
                  <wp:docPr id="11" name="图片 11" descr="餐厅里的人们&#10;&#10;中度可信度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餐厅里的人们&#10;&#10;中度可信度描述已自动生成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4" w:rsidRPr="00D930C4" w14:paraId="27DF3C32" w14:textId="77777777" w:rsidTr="00330F2B">
        <w:tc>
          <w:tcPr>
            <w:tcW w:w="4644" w:type="dxa"/>
            <w:shd w:val="clear" w:color="auto" w:fill="auto"/>
          </w:tcPr>
          <w:p w14:paraId="4FA9CD45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中国电建集团公司</w:t>
            </w:r>
          </w:p>
          <w:p w14:paraId="4034C135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《宏观经济形势与中国制造2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025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》</w:t>
            </w:r>
          </w:p>
        </w:tc>
        <w:tc>
          <w:tcPr>
            <w:tcW w:w="4678" w:type="dxa"/>
            <w:shd w:val="clear" w:color="auto" w:fill="auto"/>
          </w:tcPr>
          <w:p w14:paraId="42E4F2BC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中交二公局</w:t>
            </w:r>
          </w:p>
          <w:p w14:paraId="6440E006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《宏观经济形势与区域经济发展》</w:t>
            </w:r>
          </w:p>
        </w:tc>
      </w:tr>
      <w:tr w:rsidR="00FC6E24" w:rsidRPr="00D930C4" w14:paraId="66C18FF0" w14:textId="77777777" w:rsidTr="00330F2B">
        <w:tc>
          <w:tcPr>
            <w:tcW w:w="4644" w:type="dxa"/>
            <w:shd w:val="clear" w:color="auto" w:fill="auto"/>
          </w:tcPr>
          <w:p w14:paraId="3A1500DD" w14:textId="77777777" w:rsidR="00FC6E24" w:rsidRPr="00620CC8" w:rsidRDefault="00FC6E24" w:rsidP="00330F2B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424B93" wp14:editId="6F5A0411">
                  <wp:extent cx="2790825" cy="1868805"/>
                  <wp:effectExtent l="0" t="0" r="0" b="0"/>
                  <wp:docPr id="12" name="图片 12" descr="一群人在餐厅里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一群人在餐厅里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52CEE8B0" w14:textId="77777777" w:rsidR="00FC6E24" w:rsidRPr="00D930C4" w:rsidRDefault="00FC6E24" w:rsidP="00330F2B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1D6206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6B5AECD2" wp14:editId="1A3C1CD1">
                  <wp:extent cx="2830830" cy="2122805"/>
                  <wp:effectExtent l="0" t="0" r="0" b="0"/>
                  <wp:docPr id="13" name="图片 39" descr="电脑前的人们&#10;&#10;中度可信度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电脑前的人们&#10;&#10;中度可信度描述已自动生成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4" w:rsidRPr="00D930C4" w14:paraId="4990AF04" w14:textId="77777777" w:rsidTr="00330F2B">
        <w:tc>
          <w:tcPr>
            <w:tcW w:w="4644" w:type="dxa"/>
            <w:shd w:val="clear" w:color="auto" w:fill="auto"/>
          </w:tcPr>
          <w:p w14:paraId="2ABBC886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国机集团总部</w:t>
            </w:r>
          </w:p>
          <w:p w14:paraId="01088A76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《宏观经济形势与国企改革》</w:t>
            </w:r>
          </w:p>
        </w:tc>
        <w:tc>
          <w:tcPr>
            <w:tcW w:w="4678" w:type="dxa"/>
            <w:shd w:val="clear" w:color="auto" w:fill="auto"/>
          </w:tcPr>
          <w:p w14:paraId="3FB472CF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国家开放银行</w:t>
            </w:r>
          </w:p>
          <w:p w14:paraId="08A553E8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《宏观经济与产业转型升级》</w:t>
            </w:r>
          </w:p>
        </w:tc>
      </w:tr>
      <w:tr w:rsidR="00FC6E24" w:rsidRPr="00D930C4" w14:paraId="7F9DE163" w14:textId="77777777" w:rsidTr="00330F2B">
        <w:tc>
          <w:tcPr>
            <w:tcW w:w="4644" w:type="dxa"/>
            <w:shd w:val="clear" w:color="auto" w:fill="auto"/>
          </w:tcPr>
          <w:p w14:paraId="4E970E16" w14:textId="77777777" w:rsidR="00FC6E24" w:rsidRPr="00D930C4" w:rsidRDefault="00FC6E24" w:rsidP="00330F2B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1D6206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0F2A4064" wp14:editId="62F4F439">
                  <wp:extent cx="2806700" cy="2106930"/>
                  <wp:effectExtent l="0" t="0" r="0" b="0"/>
                  <wp:docPr id="14" name="图片 40" descr="会议室里的人们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会议室里的人们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14042F79" w14:textId="77777777" w:rsidR="00FC6E24" w:rsidRPr="00D930C4" w:rsidRDefault="00FC6E24" w:rsidP="00330F2B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1D6206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6A4A1BE0" wp14:editId="381C532A">
                  <wp:extent cx="2830830" cy="2122805"/>
                  <wp:effectExtent l="0" t="0" r="0" b="0"/>
                  <wp:docPr id="15" name="图片 41" descr="图片包含 图形用户界面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图片包含 图形用户界面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4" w:rsidRPr="00D930C4" w14:paraId="0E231690" w14:textId="77777777" w:rsidTr="00330F2B">
        <w:tc>
          <w:tcPr>
            <w:tcW w:w="4644" w:type="dxa"/>
            <w:shd w:val="clear" w:color="auto" w:fill="auto"/>
          </w:tcPr>
          <w:p w14:paraId="66DC8827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招商银行总行</w:t>
            </w:r>
          </w:p>
          <w:p w14:paraId="35601D4E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《宏观经济形势与专项债券业务趋势》</w:t>
            </w:r>
          </w:p>
        </w:tc>
        <w:tc>
          <w:tcPr>
            <w:tcW w:w="4678" w:type="dxa"/>
            <w:shd w:val="clear" w:color="auto" w:fill="auto"/>
          </w:tcPr>
          <w:p w14:paraId="43510AB5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浦发银行青岛分行</w:t>
            </w:r>
          </w:p>
          <w:p w14:paraId="1714A5A3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《宏观经济形势与银行业市场机会分析》</w:t>
            </w:r>
          </w:p>
        </w:tc>
      </w:tr>
      <w:tr w:rsidR="00FC6E24" w:rsidRPr="00D930C4" w14:paraId="39F23963" w14:textId="77777777" w:rsidTr="00330F2B">
        <w:tc>
          <w:tcPr>
            <w:tcW w:w="4644" w:type="dxa"/>
            <w:shd w:val="clear" w:color="auto" w:fill="auto"/>
          </w:tcPr>
          <w:p w14:paraId="73255C90" w14:textId="77777777" w:rsidR="00FC6E24" w:rsidRPr="00D930C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1D6206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31AF5697" wp14:editId="2E999AA6">
                  <wp:extent cx="2989580" cy="2234565"/>
                  <wp:effectExtent l="0" t="0" r="0" b="0"/>
                  <wp:docPr id="16" name="图片 16" descr="许多人在餐厅里&#10;&#10;中度可信度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许多人在餐厅里&#10;&#10;中度可信度描述已自动生成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7B5D00BC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1D6206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55CEAA32" wp14:editId="74641C79">
                  <wp:extent cx="2989580" cy="2234565"/>
                  <wp:effectExtent l="0" t="0" r="0" b="0"/>
                  <wp:docPr id="17" name="图片 17" descr="会议室里的人们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会议室里的人们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4" w:rsidRPr="00D930C4" w14:paraId="4592F2C8" w14:textId="77777777" w:rsidTr="00330F2B">
        <w:tc>
          <w:tcPr>
            <w:tcW w:w="4644" w:type="dxa"/>
            <w:shd w:val="clear" w:color="auto" w:fill="auto"/>
          </w:tcPr>
          <w:p w14:paraId="1C906601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长沙市岳麓区</w:t>
            </w:r>
          </w:p>
          <w:p w14:paraId="6AA60270" w14:textId="77777777" w:rsidR="00FC6E24" w:rsidRPr="007A5E07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《中国宏观经济形势与产业升级》</w:t>
            </w:r>
          </w:p>
        </w:tc>
        <w:tc>
          <w:tcPr>
            <w:tcW w:w="4678" w:type="dxa"/>
            <w:shd w:val="clear" w:color="auto" w:fill="auto"/>
          </w:tcPr>
          <w:p w14:paraId="7DB866DD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中交上海公司</w:t>
            </w:r>
          </w:p>
          <w:p w14:paraId="264F26DF" w14:textId="77777777" w:rsidR="00FC6E24" w:rsidRPr="007A5E07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《宏观经济与中美贸易战》</w:t>
            </w:r>
          </w:p>
        </w:tc>
      </w:tr>
      <w:tr w:rsidR="00FC6E24" w:rsidRPr="00D930C4" w14:paraId="56DED313" w14:textId="77777777" w:rsidTr="00330F2B">
        <w:tc>
          <w:tcPr>
            <w:tcW w:w="4644" w:type="dxa"/>
            <w:shd w:val="clear" w:color="auto" w:fill="auto"/>
          </w:tcPr>
          <w:p w14:paraId="3178BE38" w14:textId="77777777" w:rsidR="00FC6E24" w:rsidRPr="00F36C1F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1D6206">
              <w:rPr>
                <w:rFonts w:ascii="微软雅黑" w:eastAsia="微软雅黑" w:hAnsi="微软雅黑"/>
                <w:noProof/>
                <w:sz w:val="24"/>
                <w:szCs w:val="24"/>
              </w:rPr>
              <w:lastRenderedPageBreak/>
              <w:drawing>
                <wp:inline distT="0" distB="0" distL="0" distR="0" wp14:anchorId="3FA545C5" wp14:editId="42725B20">
                  <wp:extent cx="2806700" cy="2106930"/>
                  <wp:effectExtent l="0" t="0" r="0" b="0"/>
                  <wp:docPr id="18" name="图片 42" descr="会议室里的人们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会议室里的人们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002642D7" w14:textId="77777777" w:rsidR="00FC6E24" w:rsidRPr="00F36C1F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1EBC2F" wp14:editId="0E261D96">
                  <wp:extent cx="2695575" cy="1797050"/>
                  <wp:effectExtent l="0" t="0" r="0" b="0"/>
                  <wp:docPr id="19" name="图片 19" descr="电视萤幕里有许多人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电视萤幕里有许多人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4" w:rsidRPr="00D930C4" w14:paraId="792784FC" w14:textId="77777777" w:rsidTr="00330F2B">
        <w:tc>
          <w:tcPr>
            <w:tcW w:w="4644" w:type="dxa"/>
            <w:shd w:val="clear" w:color="auto" w:fill="auto"/>
          </w:tcPr>
          <w:p w14:paraId="3D5456BF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东亚银行总行</w:t>
            </w:r>
          </w:p>
          <w:p w14:paraId="6790B341" w14:textId="77777777" w:rsidR="00FC6E24" w:rsidRPr="00C35DCB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《宏观经济形势与房地产行业趋势》</w:t>
            </w:r>
          </w:p>
        </w:tc>
        <w:tc>
          <w:tcPr>
            <w:tcW w:w="4678" w:type="dxa"/>
            <w:shd w:val="clear" w:color="auto" w:fill="auto"/>
          </w:tcPr>
          <w:p w14:paraId="3539A499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中国银行</w:t>
            </w:r>
          </w:p>
          <w:p w14:paraId="7F6C4F34" w14:textId="77777777" w:rsidR="00FC6E24" w:rsidRPr="00C35DCB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《宏观经济与一带一路银行业机遇》</w:t>
            </w:r>
          </w:p>
        </w:tc>
      </w:tr>
      <w:tr w:rsidR="00FC6E24" w:rsidRPr="00D930C4" w14:paraId="39F38E8F" w14:textId="77777777" w:rsidTr="00330F2B">
        <w:tc>
          <w:tcPr>
            <w:tcW w:w="4644" w:type="dxa"/>
            <w:shd w:val="clear" w:color="auto" w:fill="auto"/>
          </w:tcPr>
          <w:p w14:paraId="7C25A490" w14:textId="77777777" w:rsidR="00FC6E24" w:rsidRPr="00FC380B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1D6206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6749B40B" wp14:editId="118CFED0">
                  <wp:extent cx="2806700" cy="2106930"/>
                  <wp:effectExtent l="0" t="0" r="0" b="0"/>
                  <wp:docPr id="20" name="图片 43" descr="图形用户界面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图形用户界面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4B27339B" w14:textId="77777777" w:rsidR="00FC6E24" w:rsidRDefault="00FC6E24" w:rsidP="00330F2B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1D6206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69182BDB" wp14:editId="5F575689">
                  <wp:extent cx="2830830" cy="2122805"/>
                  <wp:effectExtent l="0" t="0" r="0" b="0"/>
                  <wp:docPr id="21" name="图片 44" descr="会议室里的人们&#10;&#10;描述已自动生成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会议室里的人们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4" w:rsidRPr="00D930C4" w14:paraId="47625147" w14:textId="77777777" w:rsidTr="00330F2B">
        <w:tc>
          <w:tcPr>
            <w:tcW w:w="4644" w:type="dxa"/>
            <w:shd w:val="clear" w:color="auto" w:fill="auto"/>
          </w:tcPr>
          <w:p w14:paraId="4FB0E834" w14:textId="77777777" w:rsidR="00FC6E24" w:rsidRDefault="00FC6E24" w:rsidP="00330F2B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《宏观经济背景下的专精特新产业发展》</w:t>
            </w:r>
          </w:p>
        </w:tc>
        <w:tc>
          <w:tcPr>
            <w:tcW w:w="4678" w:type="dxa"/>
            <w:shd w:val="clear" w:color="auto" w:fill="auto"/>
          </w:tcPr>
          <w:p w14:paraId="50C8EE14" w14:textId="77777777" w:rsidR="00FC6E24" w:rsidRDefault="00FC6E24" w:rsidP="00330F2B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上海交通大学E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MBA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《宏观经济发》</w:t>
            </w:r>
          </w:p>
        </w:tc>
      </w:tr>
    </w:tbl>
    <w:p w14:paraId="21D4ECBB" w14:textId="77777777" w:rsidR="00FC6E24" w:rsidRPr="00BE4975" w:rsidRDefault="00FC6E24" w:rsidP="00FC6E24">
      <w:pPr>
        <w:adjustRightInd w:val="0"/>
        <w:snapToGrid w:val="0"/>
        <w:spacing w:line="460" w:lineRule="exact"/>
        <w:rPr>
          <w:rFonts w:ascii="微软雅黑" w:eastAsia="微软雅黑" w:hAnsi="微软雅黑"/>
          <w:sz w:val="24"/>
          <w:szCs w:val="24"/>
        </w:rPr>
      </w:pPr>
    </w:p>
    <w:p w14:paraId="2FDDFC54" w14:textId="77777777" w:rsidR="00FC6E24" w:rsidRPr="00FC6E24" w:rsidRDefault="00FC6E24"/>
    <w:sectPr w:rsidR="00FC6E24" w:rsidRPr="00FC6E24" w:rsidSect="0018532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pleExternalUIFontSimplifiedCh">
    <w:altName w:val="微软雅黑"/>
    <w:panose1 w:val="020B0604020202020204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DB27EF"/>
    <w:multiLevelType w:val="hybridMultilevel"/>
    <w:tmpl w:val="775A173E"/>
    <w:lvl w:ilvl="0" w:tplc="B142D4F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53809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E24"/>
    <w:rsid w:val="00542669"/>
    <w:rsid w:val="005A34D8"/>
    <w:rsid w:val="00A841EC"/>
    <w:rsid w:val="00FC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BCFFE"/>
  <w15:chartTrackingRefBased/>
  <w15:docId w15:val="{6B850D00-1005-D248-ADFF-B5154C56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E24"/>
    <w:pPr>
      <w:widowControl w:val="0"/>
      <w:jc w:val="both"/>
    </w:pPr>
    <w:rPr>
      <w:rFonts w:ascii="Calibri" w:eastAsia="宋体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375</Words>
  <Characters>2143</Characters>
  <Application>Microsoft Office Word</Application>
  <DocSecurity>0</DocSecurity>
  <Lines>17</Lines>
  <Paragraphs>5</Paragraphs>
  <ScaleCrop>false</ScaleCrop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W</dc:creator>
  <cp:keywords/>
  <dc:description/>
  <cp:lastModifiedBy>G W</cp:lastModifiedBy>
  <cp:revision>4</cp:revision>
  <dcterms:created xsi:type="dcterms:W3CDTF">2022-03-28T12:42:00Z</dcterms:created>
  <dcterms:modified xsi:type="dcterms:W3CDTF">2022-07-28T10:56:00Z</dcterms:modified>
</cp:coreProperties>
</file>